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B08D6" w14:textId="3547D8ED" w:rsidR="00275AE3" w:rsidRPr="00B669A0" w:rsidRDefault="00B669A0" w:rsidP="00B669A0">
      <w:pPr>
        <w:spacing w:after="0"/>
        <w:jc w:val="center"/>
        <w:rPr>
          <w:b/>
          <w:bCs/>
          <w:lang w:val="en-GB"/>
        </w:rPr>
      </w:pPr>
      <w:r w:rsidRPr="00B669A0">
        <w:rPr>
          <w:b/>
          <w:bCs/>
          <w:lang w:val="en-GB"/>
        </w:rPr>
        <w:t>TARGETED STAKEHOLDER CONSULTATION 202</w:t>
      </w:r>
      <w:r w:rsidR="0038485A">
        <w:rPr>
          <w:b/>
          <w:bCs/>
          <w:lang w:val="en-GB"/>
        </w:rPr>
        <w:t>2</w:t>
      </w:r>
      <w:r w:rsidRPr="00B669A0">
        <w:rPr>
          <w:b/>
          <w:bCs/>
          <w:lang w:val="en-GB"/>
        </w:rPr>
        <w:t xml:space="preserve"> RULE OF LAW REPORT</w:t>
      </w:r>
    </w:p>
    <w:p w14:paraId="23699319" w14:textId="575C3A05" w:rsidR="00B669A0" w:rsidRPr="00B669A0" w:rsidRDefault="00B669A0" w:rsidP="00B669A0">
      <w:pPr>
        <w:spacing w:after="0"/>
        <w:jc w:val="center"/>
        <w:rPr>
          <w:b/>
          <w:bCs/>
          <w:lang w:val="en-AU"/>
        </w:rPr>
      </w:pPr>
      <w:r w:rsidRPr="00B669A0">
        <w:rPr>
          <w:b/>
          <w:bCs/>
          <w:lang w:val="en-AU"/>
        </w:rPr>
        <w:t>UN HUMAN RIGHTS REGIONAL OFFICE FOR EUROPE (OHCHR)</w:t>
      </w:r>
    </w:p>
    <w:p w14:paraId="465166AB" w14:textId="2D28CD93" w:rsidR="001B7CA2" w:rsidRPr="0002213A" w:rsidRDefault="008A13FD" w:rsidP="00B669A0">
      <w:pPr>
        <w:pBdr>
          <w:bottom w:val="single" w:sz="4" w:space="1" w:color="auto"/>
        </w:pBdr>
        <w:rPr>
          <w:b/>
          <w:bCs/>
          <w:lang w:val="en-GB"/>
        </w:rPr>
      </w:pPr>
      <w:r>
        <w:rPr>
          <w:b/>
          <w:lang w:val="en-AU"/>
        </w:rPr>
        <w:t>PORTUGAL</w:t>
      </w:r>
      <w:r w:rsidR="001D03A6">
        <w:rPr>
          <w:b/>
          <w:lang w:val="en-AU"/>
        </w:rPr>
        <w:t xml:space="preserve"> </w:t>
      </w:r>
      <w:r w:rsidR="00B669A0" w:rsidRPr="0002213A">
        <w:rPr>
          <w:b/>
          <w:bCs/>
          <w:lang w:val="en-AU"/>
        </w:rPr>
        <w:t>REVIEW</w:t>
      </w:r>
    </w:p>
    <w:p w14:paraId="2EEF89E7" w14:textId="77777777" w:rsidR="001B7CA2" w:rsidRPr="001B7CA2" w:rsidRDefault="001B7CA2" w:rsidP="001B7CA2">
      <w:pPr>
        <w:rPr>
          <w:lang w:val="en-GB"/>
        </w:rPr>
      </w:pPr>
      <w:r w:rsidRPr="001B7CA2">
        <w:rPr>
          <w:b/>
          <w:bCs/>
          <w:lang w:val="en-GB"/>
        </w:rPr>
        <w:t xml:space="preserve">I. Justice System </w:t>
      </w:r>
    </w:p>
    <w:p w14:paraId="4E024A29" w14:textId="6833E8A4" w:rsidR="001B7CA2" w:rsidRPr="001B7CA2" w:rsidRDefault="001B7CA2" w:rsidP="001B7CA2">
      <w:pPr>
        <w:rPr>
          <w:lang w:val="en-GB"/>
        </w:rPr>
      </w:pPr>
      <w:r w:rsidRPr="001B7CA2">
        <w:rPr>
          <w:b/>
          <w:bCs/>
          <w:i/>
          <w:iCs/>
          <w:lang w:val="en-GB"/>
        </w:rPr>
        <w:t xml:space="preserve">B. Quality of justice </w:t>
      </w:r>
    </w:p>
    <w:p w14:paraId="48E3E95A" w14:textId="322DFD26" w:rsidR="001B7CA2" w:rsidRDefault="001B7CA2" w:rsidP="00FF5A3B">
      <w:pPr>
        <w:spacing w:line="240" w:lineRule="auto"/>
        <w:rPr>
          <w:i/>
          <w:iCs/>
          <w:lang w:val="en-GB"/>
        </w:rPr>
      </w:pPr>
      <w:r w:rsidRPr="001B7CA2">
        <w:rPr>
          <w:i/>
          <w:iCs/>
          <w:lang w:val="en-GB"/>
        </w:rPr>
        <w:t xml:space="preserve">11. Accessibility of courts (e.g. court fees, legal aid, language) </w:t>
      </w:r>
    </w:p>
    <w:p w14:paraId="109E0174" w14:textId="32E4A94A" w:rsidR="00694C36" w:rsidRPr="00387C6E" w:rsidRDefault="00116541" w:rsidP="00387C6E">
      <w:pPr>
        <w:spacing w:line="240" w:lineRule="auto"/>
        <w:jc w:val="both"/>
        <w:rPr>
          <w:iCs/>
          <w:lang w:val="en-GB"/>
        </w:rPr>
      </w:pPr>
      <w:r>
        <w:rPr>
          <w:iCs/>
          <w:lang w:val="en-GB"/>
        </w:rPr>
        <w:t xml:space="preserve">In December 2021, in the </w:t>
      </w:r>
      <w:r w:rsidR="005B0803">
        <w:rPr>
          <w:iCs/>
          <w:lang w:val="en-GB"/>
        </w:rPr>
        <w:t>s</w:t>
      </w:r>
      <w:r w:rsidR="005B0803" w:rsidRPr="005B0803">
        <w:rPr>
          <w:iCs/>
          <w:lang w:val="en-GB"/>
        </w:rPr>
        <w:t>tatement on the conclusion of its official visit to Portugal</w:t>
      </w:r>
      <w:r w:rsidR="005B0803">
        <w:rPr>
          <w:iCs/>
          <w:lang w:val="en-GB"/>
        </w:rPr>
        <w:t xml:space="preserve">, </w:t>
      </w:r>
      <w:r w:rsidR="005B0803" w:rsidRPr="005B0803">
        <w:rPr>
          <w:iCs/>
          <w:lang w:val="en-GB"/>
        </w:rPr>
        <w:t xml:space="preserve">the Working </w:t>
      </w:r>
      <w:r w:rsidR="005B0803" w:rsidRPr="002B52B9">
        <w:rPr>
          <w:rFonts w:cstheme="minorHAnsi"/>
          <w:iCs/>
          <w:lang w:val="en-GB"/>
        </w:rPr>
        <w:t>Group</w:t>
      </w:r>
      <w:r w:rsidR="002B52B9" w:rsidRPr="002B52B9">
        <w:rPr>
          <w:rFonts w:cstheme="minorHAnsi"/>
          <w:iCs/>
          <w:lang w:val="en-GB"/>
        </w:rPr>
        <w:t xml:space="preserve"> </w:t>
      </w:r>
      <w:r w:rsidR="00D377E6">
        <w:rPr>
          <w:rFonts w:cstheme="minorHAnsi"/>
          <w:iCs/>
          <w:lang w:val="en-GB"/>
        </w:rPr>
        <w:t xml:space="preserve">of </w:t>
      </w:r>
      <w:r w:rsidR="002B52B9" w:rsidRPr="0000200B">
        <w:rPr>
          <w:rStyle w:val="h2"/>
          <w:rFonts w:cstheme="minorHAnsi"/>
          <w:lang w:val="en-US"/>
        </w:rPr>
        <w:t>Exper</w:t>
      </w:r>
      <w:r w:rsidR="00387C6E">
        <w:rPr>
          <w:rStyle w:val="h2"/>
          <w:rFonts w:cstheme="minorHAnsi"/>
          <w:lang w:val="en-US"/>
        </w:rPr>
        <w:t xml:space="preserve">ts on People of African Descent </w:t>
      </w:r>
      <w:r w:rsidR="005B0803" w:rsidRPr="002B52B9">
        <w:rPr>
          <w:rFonts w:cstheme="minorHAnsi"/>
          <w:iCs/>
          <w:lang w:val="en-GB"/>
        </w:rPr>
        <w:t>stated</w:t>
      </w:r>
      <w:r w:rsidR="005B0803">
        <w:rPr>
          <w:iCs/>
          <w:lang w:val="en-GB"/>
        </w:rPr>
        <w:t xml:space="preserve"> </w:t>
      </w:r>
      <w:r w:rsidR="00387C6E">
        <w:rPr>
          <w:iCs/>
          <w:lang w:val="en-GB"/>
        </w:rPr>
        <w:t xml:space="preserve">that </w:t>
      </w:r>
      <w:r w:rsidR="005B0803">
        <w:rPr>
          <w:iCs/>
          <w:lang w:val="en-GB"/>
        </w:rPr>
        <w:t xml:space="preserve">it </w:t>
      </w:r>
      <w:r w:rsidR="00387C6E">
        <w:rPr>
          <w:iCs/>
          <w:lang w:val="en-GB"/>
        </w:rPr>
        <w:t xml:space="preserve">noted </w:t>
      </w:r>
      <w:r w:rsidR="005B0803" w:rsidRPr="005B0803">
        <w:rPr>
          <w:iCs/>
          <w:lang w:val="en-GB"/>
        </w:rPr>
        <w:t>financial barriers to access justice</w:t>
      </w:r>
      <w:r w:rsidR="005B0803" w:rsidRPr="005B0803">
        <w:rPr>
          <w:lang w:val="en-US"/>
        </w:rPr>
        <w:t xml:space="preserve"> </w:t>
      </w:r>
      <w:r w:rsidR="005B0803">
        <w:rPr>
          <w:iCs/>
          <w:lang w:val="en-US"/>
        </w:rPr>
        <w:t>d</w:t>
      </w:r>
      <w:r w:rsidR="005B0803" w:rsidRPr="005B0803">
        <w:rPr>
          <w:iCs/>
          <w:lang w:val="en-GB"/>
        </w:rPr>
        <w:t xml:space="preserve">espite the availability of free legal aid. In many cases, people of African descent experiencing racial discrimination or police violence reported </w:t>
      </w:r>
      <w:r w:rsidR="00D377E6">
        <w:rPr>
          <w:iCs/>
          <w:lang w:val="en-GB"/>
        </w:rPr>
        <w:t xml:space="preserve">the </w:t>
      </w:r>
      <w:r w:rsidR="005B0803" w:rsidRPr="005B0803">
        <w:rPr>
          <w:iCs/>
          <w:lang w:val="en-GB"/>
        </w:rPr>
        <w:t xml:space="preserve">inability to move their cases forward without crowdfunding initiatives to </w:t>
      </w:r>
      <w:r w:rsidR="00D377E6">
        <w:rPr>
          <w:iCs/>
          <w:lang w:val="en-GB"/>
        </w:rPr>
        <w:t>collect funds</w:t>
      </w:r>
      <w:r w:rsidR="005B0803" w:rsidRPr="005B0803">
        <w:rPr>
          <w:iCs/>
          <w:lang w:val="en-GB"/>
        </w:rPr>
        <w:t xml:space="preserve"> to hire a lawyer. People who were incarcerated</w:t>
      </w:r>
      <w:r>
        <w:rPr>
          <w:iCs/>
          <w:lang w:val="en-GB"/>
        </w:rPr>
        <w:t xml:space="preserve"> also reported i</w:t>
      </w:r>
      <w:r w:rsidR="005B0803" w:rsidRPr="005B0803">
        <w:rPr>
          <w:iCs/>
          <w:lang w:val="en-GB"/>
        </w:rPr>
        <w:t xml:space="preserve">nadequate access to effective legal aid as a driver of ongoing injustice. </w:t>
      </w:r>
      <w:r w:rsidR="00032D20">
        <w:rPr>
          <w:iCs/>
          <w:lang w:val="en-GB"/>
        </w:rPr>
        <w:t>The Working Group recommended Portugal to</w:t>
      </w:r>
      <w:r w:rsidR="00032D20" w:rsidRPr="00032D20">
        <w:rPr>
          <w:iCs/>
          <w:lang w:val="en-GB"/>
        </w:rPr>
        <w:t xml:space="preserve"> build awareness of the right and the availability of free</w:t>
      </w:r>
      <w:r>
        <w:rPr>
          <w:iCs/>
          <w:lang w:val="en-GB"/>
        </w:rPr>
        <w:t xml:space="preserve"> legal aid</w:t>
      </w:r>
      <w:r w:rsidR="00387C6E">
        <w:rPr>
          <w:iCs/>
          <w:lang w:val="en-GB"/>
        </w:rPr>
        <w:t xml:space="preserve">. It also </w:t>
      </w:r>
      <w:r w:rsidR="00387C6E" w:rsidRPr="001E6140">
        <w:rPr>
          <w:lang w:val="en-US"/>
        </w:rPr>
        <w:t xml:space="preserve">recommended </w:t>
      </w:r>
      <w:r w:rsidR="00387C6E">
        <w:rPr>
          <w:lang w:val="en-US"/>
        </w:rPr>
        <w:t xml:space="preserve">that Portugal </w:t>
      </w:r>
      <w:r w:rsidR="00387C6E" w:rsidRPr="00032D20">
        <w:rPr>
          <w:lang w:val="en-US"/>
        </w:rPr>
        <w:t>expedite the amendment to Article 240 of the Penal Co</w:t>
      </w:r>
      <w:r w:rsidR="00387C6E">
        <w:rPr>
          <w:lang w:val="en-US"/>
        </w:rPr>
        <w:t>de</w:t>
      </w:r>
      <w:r w:rsidR="00387C6E" w:rsidRPr="0036306F">
        <w:rPr>
          <w:lang w:val="en-GB"/>
        </w:rPr>
        <w:t xml:space="preserve"> dealing with racial discrimination</w:t>
      </w:r>
      <w:r w:rsidR="00387C6E">
        <w:rPr>
          <w:lang w:val="en-US"/>
        </w:rPr>
        <w:t>. Once amended, Portugal</w:t>
      </w:r>
      <w:r w:rsidR="00387C6E" w:rsidRPr="00032D20">
        <w:rPr>
          <w:lang w:val="en-US"/>
        </w:rPr>
        <w:t xml:space="preserve"> should closely monitor its implementation and effectiveness in ensuring justice for people of African descent facing racial </w:t>
      </w:r>
      <w:r w:rsidR="00387C6E">
        <w:rPr>
          <w:lang w:val="en-US"/>
        </w:rPr>
        <w:t xml:space="preserve">discrimination. Portugal </w:t>
      </w:r>
      <w:r w:rsidR="00387C6E" w:rsidRPr="00032D20">
        <w:rPr>
          <w:lang w:val="en-US"/>
        </w:rPr>
        <w:t xml:space="preserve">should constitute </w:t>
      </w:r>
      <w:r w:rsidR="00387C6E">
        <w:rPr>
          <w:lang w:val="en-US"/>
        </w:rPr>
        <w:t>a</w:t>
      </w:r>
      <w:r w:rsidR="00387C6E" w:rsidRPr="00032D20">
        <w:rPr>
          <w:lang w:val="en-US"/>
        </w:rPr>
        <w:t>n independent inquiry into widespread allegations of police brutality with a view to identifying the victims and accordi</w:t>
      </w:r>
      <w:r w:rsidR="00387C6E">
        <w:rPr>
          <w:lang w:val="en-US"/>
        </w:rPr>
        <w:t xml:space="preserve">ng them redress and </w:t>
      </w:r>
      <w:r w:rsidR="00387C6E" w:rsidRPr="00032D20">
        <w:rPr>
          <w:lang w:val="en-US"/>
        </w:rPr>
        <w:t>an independent oversight mechanism to address a</w:t>
      </w:r>
      <w:r w:rsidR="00387C6E">
        <w:rPr>
          <w:lang w:val="en-US"/>
        </w:rPr>
        <w:t>llegations of police misconduct.</w:t>
      </w:r>
      <w:r w:rsidR="00387C6E">
        <w:rPr>
          <w:iCs/>
          <w:lang w:val="en-GB"/>
        </w:rPr>
        <w:t xml:space="preserve"> </w:t>
      </w:r>
      <w:r w:rsidR="005B0803">
        <w:rPr>
          <w:iCs/>
          <w:lang w:val="en-GB"/>
        </w:rPr>
        <w:t>(</w:t>
      </w:r>
      <w:r w:rsidR="00302AC0">
        <w:rPr>
          <w:iCs/>
          <w:lang w:val="en-GB"/>
        </w:rPr>
        <w:t xml:space="preserve">at </w:t>
      </w:r>
      <w:hyperlink r:id="rId8" w:history="1">
        <w:r w:rsidRPr="004E7A51">
          <w:rPr>
            <w:rStyle w:val="Hyperlink"/>
            <w:iCs/>
            <w:lang w:val="en-GB"/>
          </w:rPr>
          <w:t>https://www.ohchr.org/EN/NewsEvents/Pages/DisplayNews.aspx?NewsID=27894&amp;LangID=E</w:t>
        </w:r>
      </w:hyperlink>
      <w:r>
        <w:rPr>
          <w:iCs/>
          <w:lang w:val="en-GB"/>
        </w:rPr>
        <w:t>,</w:t>
      </w:r>
      <w:r w:rsidRPr="00116541">
        <w:rPr>
          <w:iCs/>
          <w:lang w:val="en-GB"/>
        </w:rPr>
        <w:t xml:space="preserve"> </w:t>
      </w:r>
      <w:r>
        <w:rPr>
          <w:iCs/>
          <w:lang w:val="en-GB"/>
        </w:rPr>
        <w:t>para</w:t>
      </w:r>
      <w:r w:rsidR="00387C6E">
        <w:rPr>
          <w:iCs/>
          <w:lang w:val="en-GB"/>
        </w:rPr>
        <w:t>s</w:t>
      </w:r>
      <w:r>
        <w:rPr>
          <w:iCs/>
          <w:lang w:val="en-GB"/>
        </w:rPr>
        <w:t>. 24-26</w:t>
      </w:r>
      <w:r w:rsidR="00387C6E">
        <w:rPr>
          <w:iCs/>
          <w:lang w:val="en-GB"/>
        </w:rPr>
        <w:t>, 55-56</w:t>
      </w:r>
      <w:r w:rsidR="005B0803">
        <w:rPr>
          <w:iCs/>
          <w:lang w:val="en-GB"/>
        </w:rPr>
        <w:t>)</w:t>
      </w:r>
      <w:r>
        <w:rPr>
          <w:iCs/>
          <w:lang w:val="en-GB"/>
        </w:rPr>
        <w:t>.</w:t>
      </w:r>
    </w:p>
    <w:p w14:paraId="007DBDA0" w14:textId="77777777" w:rsidR="00591274" w:rsidRPr="00032D20" w:rsidRDefault="00591274" w:rsidP="00591274">
      <w:pPr>
        <w:widowControl w:val="0"/>
        <w:tabs>
          <w:tab w:val="left" w:pos="1217"/>
        </w:tabs>
        <w:autoSpaceDE w:val="0"/>
        <w:autoSpaceDN w:val="0"/>
        <w:spacing w:before="160" w:after="0" w:line="240" w:lineRule="auto"/>
        <w:ind w:right="403"/>
        <w:jc w:val="both"/>
        <w:rPr>
          <w:lang w:val="en-US"/>
        </w:rPr>
      </w:pPr>
    </w:p>
    <w:p w14:paraId="7E55338D" w14:textId="6340FAD1" w:rsidR="001B7CA2" w:rsidRPr="006D3FD6" w:rsidRDefault="006D3FD6" w:rsidP="006D3FD6">
      <w:pPr>
        <w:jc w:val="both"/>
        <w:rPr>
          <w:rFonts w:cstheme="minorHAnsi"/>
          <w:lang w:val="en-US"/>
        </w:rPr>
      </w:pPr>
      <w:r w:rsidRPr="006D3FD6">
        <w:rPr>
          <w:rFonts w:cstheme="minorHAnsi"/>
          <w:b/>
          <w:bCs/>
          <w:i/>
          <w:iCs/>
          <w:lang w:val="en-GB"/>
        </w:rPr>
        <w:t>IV. a. The process for preparing and enacting laws</w:t>
      </w:r>
    </w:p>
    <w:p w14:paraId="5EDABFFF" w14:textId="77777777" w:rsidR="006D3FD6" w:rsidRPr="006D3FD6" w:rsidRDefault="006D3FD6" w:rsidP="006D3FD6">
      <w:pPr>
        <w:jc w:val="both"/>
        <w:rPr>
          <w:rFonts w:cstheme="minorHAnsi"/>
          <w:i/>
          <w:iCs/>
          <w:lang w:val="en-GB"/>
        </w:rPr>
      </w:pPr>
      <w:r w:rsidRPr="006D3FD6">
        <w:rPr>
          <w:rFonts w:cstheme="minorHAnsi"/>
          <w:i/>
          <w:iCs/>
          <w:lang w:val="en-GB"/>
        </w:rPr>
        <w:t xml:space="preserve">39. Framework, policy and use of impact assessments, stakeholders'/public consultations (particularly consultation of judiciary on judicial reforms), and transparency and quality of the legislative process </w:t>
      </w:r>
    </w:p>
    <w:p w14:paraId="6DEE5199" w14:textId="343F039A" w:rsidR="006D3FD6" w:rsidRDefault="006D3FD6" w:rsidP="006D3FD6">
      <w:pPr>
        <w:jc w:val="both"/>
        <w:rPr>
          <w:rFonts w:cstheme="minorHAnsi"/>
          <w:lang w:val="en-US"/>
        </w:rPr>
      </w:pPr>
      <w:r w:rsidRPr="006D3FD6">
        <w:rPr>
          <w:rFonts w:cstheme="minorHAnsi"/>
          <w:iCs/>
          <w:lang w:val="en-GB"/>
        </w:rPr>
        <w:t xml:space="preserve">In December 2021, in the statement on the conclusion of its official visit to Portugal, the Working Group </w:t>
      </w:r>
      <w:r w:rsidR="00D377E6">
        <w:rPr>
          <w:rFonts w:cstheme="minorHAnsi"/>
          <w:iCs/>
          <w:lang w:val="en-GB"/>
        </w:rPr>
        <w:t xml:space="preserve">of </w:t>
      </w:r>
      <w:r w:rsidRPr="006D3FD6">
        <w:rPr>
          <w:rFonts w:cstheme="minorHAnsi"/>
          <w:iCs/>
          <w:lang w:val="en-US"/>
        </w:rPr>
        <w:t>Experts on People of African Descent</w:t>
      </w:r>
      <w:r>
        <w:rPr>
          <w:rFonts w:cstheme="minorHAnsi"/>
          <w:iCs/>
          <w:lang w:val="en-US"/>
        </w:rPr>
        <w:t xml:space="preserve"> </w:t>
      </w:r>
      <w:r>
        <w:rPr>
          <w:rFonts w:cstheme="minorHAnsi"/>
          <w:lang w:val="en-GB"/>
        </w:rPr>
        <w:t>welcomed</w:t>
      </w:r>
      <w:r w:rsidRPr="006D3FD6">
        <w:rPr>
          <w:rFonts w:cstheme="minorHAnsi"/>
          <w:lang w:val="en-GB"/>
        </w:rPr>
        <w:t xml:space="preserve"> </w:t>
      </w:r>
      <w:r w:rsidR="00D377E6">
        <w:rPr>
          <w:rFonts w:cstheme="minorHAnsi"/>
          <w:lang w:val="en-GB"/>
        </w:rPr>
        <w:t xml:space="preserve">as </w:t>
      </w:r>
      <w:r w:rsidRPr="006D3FD6">
        <w:rPr>
          <w:rFonts w:cstheme="minorHAnsi"/>
          <w:lang w:val="en-GB"/>
        </w:rPr>
        <w:t xml:space="preserve"> positive steps </w:t>
      </w:r>
      <w:r w:rsidR="00D377E6">
        <w:rPr>
          <w:rFonts w:cstheme="minorHAnsi"/>
          <w:lang w:val="en-GB"/>
        </w:rPr>
        <w:t xml:space="preserve">the </w:t>
      </w:r>
      <w:r>
        <w:rPr>
          <w:rFonts w:cstheme="minorHAnsi"/>
          <w:lang w:val="en-GB"/>
        </w:rPr>
        <w:t>e</w:t>
      </w:r>
      <w:r w:rsidRPr="006D3FD6">
        <w:rPr>
          <w:rFonts w:cstheme="minorHAnsi"/>
          <w:lang w:val="en-GB"/>
        </w:rPr>
        <w:t>merging representation of people of African descent in leadership and policymaking roles, including the Minister of Justice and Home Affairs and three Parliamentarians</w:t>
      </w:r>
      <w:r>
        <w:rPr>
          <w:rFonts w:cstheme="minorHAnsi"/>
          <w:lang w:val="en-GB"/>
        </w:rPr>
        <w:t xml:space="preserve"> of African descent, all women (</w:t>
      </w:r>
      <w:r w:rsidRPr="006D3FD6">
        <w:rPr>
          <w:rFonts w:cstheme="minorHAnsi"/>
          <w:lang w:val="en-US"/>
        </w:rPr>
        <w:t xml:space="preserve">at </w:t>
      </w:r>
      <w:hyperlink r:id="rId9" w:history="1">
        <w:r w:rsidRPr="006D3FD6">
          <w:rPr>
            <w:rStyle w:val="Hyperlink"/>
            <w:rFonts w:cstheme="minorHAnsi"/>
            <w:iCs/>
            <w:lang w:val="en-GB"/>
          </w:rPr>
          <w:t>https://www.ohchr.org/EN/NewsEvents/Pages/DisplayNews.aspx?NewsID=27894&amp;LangID=E</w:t>
        </w:r>
      </w:hyperlink>
      <w:r>
        <w:rPr>
          <w:rFonts w:cstheme="minorHAnsi"/>
          <w:lang w:val="en-US"/>
        </w:rPr>
        <w:t>, para. 12</w:t>
      </w:r>
      <w:r w:rsidRPr="006D3FD6">
        <w:rPr>
          <w:rFonts w:cstheme="minorHAnsi"/>
          <w:lang w:val="en-US"/>
        </w:rPr>
        <w:t>).</w:t>
      </w:r>
    </w:p>
    <w:p w14:paraId="3392F480" w14:textId="3615A553" w:rsidR="006D3FD6" w:rsidRPr="006D3FD6" w:rsidRDefault="006D3FD6" w:rsidP="006D3FD6">
      <w:pPr>
        <w:jc w:val="both"/>
        <w:rPr>
          <w:rFonts w:cstheme="minorHAnsi"/>
          <w:lang w:val="en-GB"/>
        </w:rPr>
      </w:pPr>
      <w:r w:rsidRPr="006D3FD6">
        <w:rPr>
          <w:rFonts w:cstheme="minorHAnsi"/>
          <w:b/>
          <w:bCs/>
          <w:i/>
          <w:iCs/>
          <w:lang w:val="en-GB"/>
        </w:rPr>
        <w:t xml:space="preserve">Independent authorities </w:t>
      </w:r>
    </w:p>
    <w:p w14:paraId="1F20A88C" w14:textId="2CF7295E" w:rsidR="006D3FD6" w:rsidRPr="006D3FD6" w:rsidRDefault="006D3FD6" w:rsidP="006D3FD6">
      <w:pPr>
        <w:jc w:val="both"/>
        <w:rPr>
          <w:rFonts w:cstheme="minorHAnsi"/>
          <w:i/>
          <w:iCs/>
          <w:lang w:val="en-GB"/>
        </w:rPr>
      </w:pPr>
      <w:r w:rsidRPr="006D3FD6">
        <w:rPr>
          <w:rFonts w:cstheme="minorHAnsi"/>
          <w:i/>
          <w:iCs/>
          <w:lang w:val="en-GB"/>
        </w:rPr>
        <w:t>43. Independence, capacity and powers of national human rights institutions (‘NHRIs’), of ombudsman institutions if different from NHRIs, of equality bodies if different from NHRIs and of supreme audit institutions</w:t>
      </w:r>
    </w:p>
    <w:p w14:paraId="218E3AAA" w14:textId="6C0EB7AD" w:rsidR="001E6140" w:rsidRDefault="00591274" w:rsidP="006D3FD6">
      <w:pPr>
        <w:jc w:val="both"/>
        <w:rPr>
          <w:rFonts w:cstheme="minorHAnsi"/>
          <w:lang w:val="en-GB"/>
        </w:rPr>
      </w:pPr>
      <w:r w:rsidRPr="00591274">
        <w:rPr>
          <w:rFonts w:cstheme="minorHAnsi"/>
          <w:iCs/>
          <w:lang w:val="en-GB"/>
        </w:rPr>
        <w:t xml:space="preserve">In December 2021, in the statement on the conclusion of its official visit to Portugal, the Working Group </w:t>
      </w:r>
      <w:r w:rsidR="00D377E6">
        <w:rPr>
          <w:rFonts w:cstheme="minorHAnsi"/>
          <w:iCs/>
          <w:lang w:val="en-GB"/>
        </w:rPr>
        <w:t xml:space="preserve">of </w:t>
      </w:r>
      <w:r w:rsidRPr="00591274">
        <w:rPr>
          <w:rFonts w:cstheme="minorHAnsi"/>
          <w:iCs/>
          <w:lang w:val="en-US"/>
        </w:rPr>
        <w:t xml:space="preserve">Experts on People of African Descent </w:t>
      </w:r>
      <w:r w:rsidRPr="00591274">
        <w:rPr>
          <w:rFonts w:cstheme="minorHAnsi"/>
          <w:lang w:val="en-GB"/>
        </w:rPr>
        <w:t xml:space="preserve">welcomed </w:t>
      </w:r>
      <w:r w:rsidR="006D3FD6" w:rsidRPr="006D3FD6">
        <w:rPr>
          <w:rFonts w:cstheme="minorHAnsi"/>
          <w:lang w:val="en-GB"/>
        </w:rPr>
        <w:t xml:space="preserve">the </w:t>
      </w:r>
      <w:r w:rsidR="006D3FD6">
        <w:rPr>
          <w:rFonts w:cstheme="minorHAnsi"/>
          <w:lang w:val="en-GB"/>
        </w:rPr>
        <w:t>c</w:t>
      </w:r>
      <w:r w:rsidR="006D3FD6" w:rsidRPr="006D3FD6">
        <w:rPr>
          <w:rFonts w:cstheme="minorHAnsi"/>
          <w:lang w:val="en-GB"/>
        </w:rPr>
        <w:t>reation of an Independent Observatory on Hate Speech, Racism and Xenophobia</w:t>
      </w:r>
      <w:r w:rsidR="00D377E6">
        <w:rPr>
          <w:rFonts w:cstheme="minorHAnsi"/>
          <w:lang w:val="en-GB"/>
        </w:rPr>
        <w:t xml:space="preserve"> in Portugal</w:t>
      </w:r>
      <w:r w:rsidR="001E6140">
        <w:rPr>
          <w:rFonts w:cstheme="minorHAnsi"/>
          <w:lang w:val="en-GB"/>
        </w:rPr>
        <w:t>.</w:t>
      </w:r>
    </w:p>
    <w:p w14:paraId="3FA2093E" w14:textId="0A31D3B0" w:rsidR="006D3FD6" w:rsidRDefault="006D3FD6" w:rsidP="006D3FD6">
      <w:pPr>
        <w:jc w:val="both"/>
        <w:rPr>
          <w:rFonts w:cstheme="minorHAnsi"/>
          <w:lang w:val="en-US"/>
        </w:rPr>
      </w:pPr>
      <w:r w:rsidRPr="006D3FD6">
        <w:rPr>
          <w:rFonts w:cstheme="minorHAnsi"/>
          <w:lang w:val="en-GB"/>
        </w:rPr>
        <w:t xml:space="preserve"> (</w:t>
      </w:r>
      <w:r w:rsidR="00591274" w:rsidRPr="00591274">
        <w:rPr>
          <w:rFonts w:cstheme="minorHAnsi"/>
          <w:lang w:val="en-US"/>
        </w:rPr>
        <w:t xml:space="preserve">at </w:t>
      </w:r>
      <w:hyperlink r:id="rId10" w:history="1">
        <w:r w:rsidR="00591274" w:rsidRPr="00591274">
          <w:rPr>
            <w:rStyle w:val="Hyperlink"/>
            <w:rFonts w:cstheme="minorHAnsi"/>
            <w:iCs/>
            <w:lang w:val="en-GB"/>
          </w:rPr>
          <w:t>https://www.ohchr.org/EN/NewsEvents/Pages/DisplayNews.aspx?NewsID=27894&amp;LangID=E</w:t>
        </w:r>
      </w:hyperlink>
      <w:r w:rsidR="00591274" w:rsidRPr="00591274">
        <w:rPr>
          <w:rFonts w:cstheme="minorHAnsi"/>
          <w:lang w:val="en-US"/>
        </w:rPr>
        <w:t>, para. 1</w:t>
      </w:r>
      <w:r w:rsidR="00591274">
        <w:rPr>
          <w:rFonts w:cstheme="minorHAnsi"/>
          <w:lang w:val="en-US"/>
        </w:rPr>
        <w:t>0</w:t>
      </w:r>
      <w:r w:rsidR="00591274" w:rsidRPr="00591274">
        <w:rPr>
          <w:rFonts w:cstheme="minorHAnsi"/>
          <w:lang w:val="en-US"/>
        </w:rPr>
        <w:t>).</w:t>
      </w:r>
    </w:p>
    <w:p w14:paraId="3492B8EA" w14:textId="3FD9C8E2" w:rsidR="00636147" w:rsidRDefault="00636147" w:rsidP="006D3FD6">
      <w:pPr>
        <w:jc w:val="both"/>
        <w:rPr>
          <w:rFonts w:cstheme="minorHAnsi"/>
          <w:lang w:val="en-US"/>
        </w:rPr>
      </w:pPr>
    </w:p>
    <w:p w14:paraId="20FC6CAE" w14:textId="77777777" w:rsidR="00636147" w:rsidRPr="00591274" w:rsidRDefault="00636147" w:rsidP="006D3FD6">
      <w:pPr>
        <w:jc w:val="both"/>
        <w:rPr>
          <w:rFonts w:cstheme="minorHAnsi"/>
          <w:lang w:val="en-US"/>
        </w:rPr>
      </w:pPr>
    </w:p>
    <w:p w14:paraId="46495F06" w14:textId="77777777" w:rsidR="006D3FD6" w:rsidRPr="006D3FD6" w:rsidRDefault="006D3FD6" w:rsidP="006D3FD6">
      <w:pPr>
        <w:jc w:val="both"/>
        <w:rPr>
          <w:rFonts w:cstheme="minorHAnsi"/>
          <w:lang w:val="en-GB"/>
        </w:rPr>
      </w:pPr>
      <w:r w:rsidRPr="006D3FD6">
        <w:rPr>
          <w:rFonts w:cstheme="minorHAnsi"/>
          <w:b/>
          <w:bCs/>
          <w:i/>
          <w:iCs/>
          <w:lang w:val="en-GB"/>
        </w:rPr>
        <w:lastRenderedPageBreak/>
        <w:t xml:space="preserve">D. The enabling framework for civil society </w:t>
      </w:r>
    </w:p>
    <w:p w14:paraId="07CF384F" w14:textId="77777777" w:rsidR="006D3FD6" w:rsidRPr="006D3FD6" w:rsidRDefault="006D3FD6" w:rsidP="006D3FD6">
      <w:pPr>
        <w:jc w:val="both"/>
        <w:rPr>
          <w:rFonts w:cstheme="minorHAnsi"/>
          <w:i/>
          <w:iCs/>
          <w:lang w:val="en-GB"/>
        </w:rPr>
      </w:pPr>
      <w:r w:rsidRPr="006D3FD6">
        <w:rPr>
          <w:rFonts w:cstheme="minorHAnsi"/>
          <w:i/>
          <w:iCs/>
          <w:lang w:val="en-GB"/>
        </w:rPr>
        <w:t xml:space="preserve">45. Measures regarding the framework for civil society organisations (e.g. access to funding, registration rules, measures capable of affecting the public perception of civil society organisations, etc.) </w:t>
      </w:r>
    </w:p>
    <w:p w14:paraId="68E95E59" w14:textId="52D07E5F" w:rsidR="00591274" w:rsidRPr="00AD2070" w:rsidRDefault="00591274" w:rsidP="00591274">
      <w:pPr>
        <w:jc w:val="both"/>
        <w:rPr>
          <w:rFonts w:cstheme="minorHAnsi"/>
          <w:lang w:val="en-GB"/>
        </w:rPr>
      </w:pPr>
      <w:r w:rsidRPr="00591274">
        <w:rPr>
          <w:rFonts w:cstheme="minorHAnsi"/>
          <w:iCs/>
          <w:lang w:val="en-GB"/>
        </w:rPr>
        <w:t>In December 2021, in the statement on the conclusion of its official visit to Portugal, the Working Group</w:t>
      </w:r>
      <w:r w:rsidR="00D377E6">
        <w:rPr>
          <w:rFonts w:cstheme="minorHAnsi"/>
          <w:iCs/>
          <w:lang w:val="en-GB"/>
        </w:rPr>
        <w:t xml:space="preserve"> of</w:t>
      </w:r>
      <w:r w:rsidRPr="00591274">
        <w:rPr>
          <w:rFonts w:cstheme="minorHAnsi"/>
          <w:iCs/>
          <w:lang w:val="en-GB"/>
        </w:rPr>
        <w:t xml:space="preserve"> </w:t>
      </w:r>
      <w:r w:rsidRPr="00591274">
        <w:rPr>
          <w:rFonts w:cstheme="minorHAnsi"/>
          <w:iCs/>
          <w:lang w:val="en-US"/>
        </w:rPr>
        <w:t xml:space="preserve">Experts on People of African Descent </w:t>
      </w:r>
      <w:r>
        <w:rPr>
          <w:rFonts w:cstheme="minorHAnsi"/>
          <w:lang w:val="en-GB"/>
        </w:rPr>
        <w:t xml:space="preserve">urged </w:t>
      </w:r>
      <w:r w:rsidR="006D3FD6" w:rsidRPr="006D3FD6">
        <w:rPr>
          <w:rFonts w:cstheme="minorHAnsi"/>
          <w:lang w:val="en-GB"/>
        </w:rPr>
        <w:t xml:space="preserve">the government to </w:t>
      </w:r>
      <w:r w:rsidR="006D3FD6" w:rsidRPr="00591274">
        <w:rPr>
          <w:rFonts w:cstheme="minorHAnsi"/>
          <w:bCs/>
          <w:lang w:val="en-GB"/>
        </w:rPr>
        <w:t>adequately fund and strengthen the capacity of civil society</w:t>
      </w:r>
      <w:r w:rsidR="006D3FD6" w:rsidRPr="00591274">
        <w:rPr>
          <w:rFonts w:cstheme="minorHAnsi"/>
          <w:lang w:val="en-GB"/>
        </w:rPr>
        <w:t xml:space="preserve"> </w:t>
      </w:r>
      <w:r w:rsidR="006D3FD6" w:rsidRPr="006D3FD6">
        <w:rPr>
          <w:rFonts w:cstheme="minorHAnsi"/>
          <w:lang w:val="en-GB"/>
        </w:rPr>
        <w:t xml:space="preserve">of African descent and </w:t>
      </w:r>
      <w:r w:rsidR="00D377E6">
        <w:rPr>
          <w:rFonts w:cstheme="minorHAnsi"/>
          <w:lang w:val="en-GB"/>
        </w:rPr>
        <w:t xml:space="preserve">to </w:t>
      </w:r>
      <w:r w:rsidR="006D3FD6" w:rsidRPr="006D3FD6">
        <w:rPr>
          <w:rFonts w:cstheme="minorHAnsi"/>
          <w:lang w:val="en-GB"/>
        </w:rPr>
        <w:t>adopt effective measures to prevent reprisals against anti</w:t>
      </w:r>
      <w:r w:rsidR="00AD2070">
        <w:rPr>
          <w:rFonts w:cstheme="minorHAnsi"/>
          <w:lang w:val="en-GB"/>
        </w:rPr>
        <w:t xml:space="preserve">-racism human rights defenders </w:t>
      </w:r>
      <w:r w:rsidR="006D3FD6" w:rsidRPr="006D3FD6">
        <w:rPr>
          <w:rFonts w:cstheme="minorHAnsi"/>
          <w:lang w:val="en-GB"/>
        </w:rPr>
        <w:t>(</w:t>
      </w:r>
      <w:r w:rsidRPr="00591274">
        <w:rPr>
          <w:rFonts w:cstheme="minorHAnsi"/>
          <w:lang w:val="en-US"/>
        </w:rPr>
        <w:t>at</w:t>
      </w:r>
      <w:r w:rsidR="00636147">
        <w:rPr>
          <w:rFonts w:cstheme="minorHAnsi"/>
          <w:lang w:val="en-US"/>
        </w:rPr>
        <w:t xml:space="preserve"> </w:t>
      </w:r>
      <w:hyperlink r:id="rId11" w:history="1">
        <w:r w:rsidR="00636147" w:rsidRPr="00636147">
          <w:rPr>
            <w:rStyle w:val="Hyperlink"/>
            <w:rFonts w:cstheme="minorHAnsi"/>
            <w:iCs/>
            <w:lang w:val="en-GB"/>
          </w:rPr>
          <w:t>https://www.ohchr.org/EN/NewsEvents/Pages/DisplayNews.aspx?NewsID=27894&amp;LangID=E</w:t>
        </w:r>
      </w:hyperlink>
      <w:bookmarkStart w:id="0" w:name="_GoBack"/>
      <w:bookmarkEnd w:id="0"/>
      <w:r w:rsidR="00636147">
        <w:rPr>
          <w:rFonts w:cstheme="minorHAnsi"/>
          <w:lang w:val="en-US"/>
        </w:rPr>
        <w:t xml:space="preserve"> </w:t>
      </w:r>
      <w:r w:rsidRPr="00591274"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>para. 78</w:t>
      </w:r>
      <w:r w:rsidRPr="00591274">
        <w:rPr>
          <w:rFonts w:cstheme="minorHAnsi"/>
          <w:lang w:val="en-US"/>
        </w:rPr>
        <w:t>).</w:t>
      </w:r>
    </w:p>
    <w:p w14:paraId="7C70B66E" w14:textId="4419B135" w:rsidR="006D3FD6" w:rsidRPr="006D3FD6" w:rsidRDefault="006D3FD6" w:rsidP="00591274">
      <w:pPr>
        <w:jc w:val="both"/>
        <w:rPr>
          <w:rFonts w:cstheme="minorHAnsi"/>
          <w:lang w:val="en-GB"/>
        </w:rPr>
      </w:pPr>
    </w:p>
    <w:p w14:paraId="0B13A5B5" w14:textId="77777777" w:rsidR="006D3FD6" w:rsidRPr="006D3FD6" w:rsidRDefault="006D3FD6" w:rsidP="006D3FD6">
      <w:pPr>
        <w:jc w:val="both"/>
        <w:rPr>
          <w:rFonts w:cstheme="minorHAnsi"/>
          <w:lang w:val="en-GB"/>
        </w:rPr>
      </w:pPr>
    </w:p>
    <w:p w14:paraId="5303064C" w14:textId="77777777" w:rsidR="006D3FD6" w:rsidRPr="006D3FD6" w:rsidRDefault="006D3FD6" w:rsidP="006D3FD6">
      <w:pPr>
        <w:jc w:val="both"/>
        <w:rPr>
          <w:rFonts w:cstheme="minorHAnsi"/>
          <w:lang w:val="en-GB"/>
        </w:rPr>
      </w:pPr>
    </w:p>
    <w:p w14:paraId="2200E7EA" w14:textId="7D737293" w:rsidR="006D3FD6" w:rsidRPr="006D3FD6" w:rsidRDefault="006D3FD6" w:rsidP="006D3FD6">
      <w:pPr>
        <w:jc w:val="both"/>
        <w:rPr>
          <w:rFonts w:cstheme="minorHAnsi"/>
          <w:i/>
          <w:iCs/>
          <w:lang w:val="en-GB"/>
        </w:rPr>
      </w:pPr>
    </w:p>
    <w:p w14:paraId="7E702309" w14:textId="77777777" w:rsidR="006D3FD6" w:rsidRPr="006D3FD6" w:rsidRDefault="006D3FD6" w:rsidP="00E75F98">
      <w:pPr>
        <w:jc w:val="both"/>
        <w:rPr>
          <w:rFonts w:cstheme="minorHAnsi"/>
          <w:lang w:val="en-GB"/>
        </w:rPr>
      </w:pPr>
    </w:p>
    <w:p w14:paraId="6B297B43" w14:textId="77777777" w:rsidR="00E75F98" w:rsidRPr="00E75F98" w:rsidRDefault="00E75F98" w:rsidP="00E75F98">
      <w:pPr>
        <w:jc w:val="both"/>
        <w:rPr>
          <w:rFonts w:eastAsia="Calibri" w:cstheme="minorHAnsi"/>
          <w:lang w:val="en-GB"/>
        </w:rPr>
      </w:pPr>
    </w:p>
    <w:p w14:paraId="7B6D14DD" w14:textId="77777777" w:rsidR="008C7A94" w:rsidRPr="008C7A94" w:rsidRDefault="008C7A94" w:rsidP="008C7A94">
      <w:pPr>
        <w:rPr>
          <w:b/>
          <w:bCs/>
          <w:lang w:val="en-GB"/>
        </w:rPr>
      </w:pPr>
    </w:p>
    <w:p w14:paraId="3170F293" w14:textId="77777777" w:rsidR="008C7A94" w:rsidRPr="008C7A94" w:rsidRDefault="008C7A94" w:rsidP="00E7579B">
      <w:pPr>
        <w:jc w:val="both"/>
        <w:rPr>
          <w:rFonts w:eastAsia="Calibri" w:cstheme="minorHAnsi"/>
          <w:sz w:val="20"/>
          <w:szCs w:val="24"/>
          <w:lang w:val="en-GB"/>
        </w:rPr>
      </w:pPr>
    </w:p>
    <w:sectPr w:rsidR="008C7A94" w:rsidRPr="008C7A94">
      <w:footerReference w:type="default" r:id="rId12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8749D" w14:textId="77777777" w:rsidR="00476B32" w:rsidRDefault="00476B32" w:rsidP="00AB6BD8">
      <w:pPr>
        <w:spacing w:after="0" w:line="240" w:lineRule="auto"/>
      </w:pPr>
      <w:r>
        <w:separator/>
      </w:r>
    </w:p>
  </w:endnote>
  <w:endnote w:type="continuationSeparator" w:id="0">
    <w:p w14:paraId="1D07A4F2" w14:textId="77777777" w:rsidR="00476B32" w:rsidRDefault="00476B32" w:rsidP="00AB6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rlito">
    <w:altName w:val="Calibri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7187566"/>
      <w:docPartObj>
        <w:docPartGallery w:val="Page Numbers (Bottom of Page)"/>
        <w:docPartUnique/>
      </w:docPartObj>
    </w:sdtPr>
    <w:sdtEndPr/>
    <w:sdtContent>
      <w:p w14:paraId="0500433A" w14:textId="4D3F52C0" w:rsidR="00ED7A10" w:rsidRDefault="00ED7A1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147" w:rsidRPr="00636147">
          <w:rPr>
            <w:noProof/>
            <w:lang w:val="fr-FR"/>
          </w:rPr>
          <w:t>2</w:t>
        </w:r>
        <w:r>
          <w:fldChar w:fldCharType="end"/>
        </w:r>
      </w:p>
    </w:sdtContent>
  </w:sdt>
  <w:p w14:paraId="1E65FFBB" w14:textId="77777777" w:rsidR="00ED7A10" w:rsidRDefault="00ED7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A8228" w14:textId="77777777" w:rsidR="00476B32" w:rsidRDefault="00476B32" w:rsidP="00AB6BD8">
      <w:pPr>
        <w:spacing w:after="0" w:line="240" w:lineRule="auto"/>
      </w:pPr>
      <w:r>
        <w:separator/>
      </w:r>
    </w:p>
  </w:footnote>
  <w:footnote w:type="continuationSeparator" w:id="0">
    <w:p w14:paraId="2A45D220" w14:textId="77777777" w:rsidR="00476B32" w:rsidRDefault="00476B32" w:rsidP="00AB6B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11E2"/>
    <w:multiLevelType w:val="hybridMultilevel"/>
    <w:tmpl w:val="794CE63E"/>
    <w:lvl w:ilvl="0" w:tplc="96666FE4">
      <w:start w:val="11"/>
      <w:numFmt w:val="decimal"/>
      <w:lvlText w:val="%1."/>
      <w:lvlJc w:val="left"/>
      <w:pPr>
        <w:ind w:left="1216" w:hanging="361"/>
      </w:pPr>
      <w:rPr>
        <w:rFonts w:ascii="Carlito" w:eastAsia="Carlito" w:hAnsi="Carlito" w:cs="Carlito" w:hint="default"/>
        <w:i/>
        <w:w w:val="100"/>
        <w:sz w:val="22"/>
        <w:szCs w:val="22"/>
        <w:lang w:val="en-US" w:eastAsia="en-US" w:bidi="ar-SA"/>
      </w:rPr>
    </w:lvl>
    <w:lvl w:ilvl="1" w:tplc="083A08A8">
      <w:numFmt w:val="bullet"/>
      <w:lvlText w:val="-"/>
      <w:lvlJc w:val="left"/>
      <w:pPr>
        <w:ind w:left="1575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2" w:tplc="6E0E7B2C">
      <w:numFmt w:val="bullet"/>
      <w:lvlText w:val="•"/>
      <w:lvlJc w:val="left"/>
      <w:pPr>
        <w:ind w:left="2442" w:hanging="360"/>
      </w:pPr>
      <w:rPr>
        <w:rFonts w:hint="default"/>
        <w:lang w:val="en-US" w:eastAsia="en-US" w:bidi="ar-SA"/>
      </w:rPr>
    </w:lvl>
    <w:lvl w:ilvl="3" w:tplc="A92472CC">
      <w:numFmt w:val="bullet"/>
      <w:lvlText w:val="•"/>
      <w:lvlJc w:val="left"/>
      <w:pPr>
        <w:ind w:left="3304" w:hanging="360"/>
      </w:pPr>
      <w:rPr>
        <w:rFonts w:hint="default"/>
        <w:lang w:val="en-US" w:eastAsia="en-US" w:bidi="ar-SA"/>
      </w:rPr>
    </w:lvl>
    <w:lvl w:ilvl="4" w:tplc="93C8C310">
      <w:numFmt w:val="bullet"/>
      <w:lvlText w:val="•"/>
      <w:lvlJc w:val="left"/>
      <w:pPr>
        <w:ind w:left="4166" w:hanging="360"/>
      </w:pPr>
      <w:rPr>
        <w:rFonts w:hint="default"/>
        <w:lang w:val="en-US" w:eastAsia="en-US" w:bidi="ar-SA"/>
      </w:rPr>
    </w:lvl>
    <w:lvl w:ilvl="5" w:tplc="E6FE1D9E">
      <w:numFmt w:val="bullet"/>
      <w:lvlText w:val="•"/>
      <w:lvlJc w:val="left"/>
      <w:pPr>
        <w:ind w:left="5028" w:hanging="360"/>
      </w:pPr>
      <w:rPr>
        <w:rFonts w:hint="default"/>
        <w:lang w:val="en-US" w:eastAsia="en-US" w:bidi="ar-SA"/>
      </w:rPr>
    </w:lvl>
    <w:lvl w:ilvl="6" w:tplc="A62C5E08">
      <w:numFmt w:val="bullet"/>
      <w:lvlText w:val="•"/>
      <w:lvlJc w:val="left"/>
      <w:pPr>
        <w:ind w:left="5890" w:hanging="360"/>
      </w:pPr>
      <w:rPr>
        <w:rFonts w:hint="default"/>
        <w:lang w:val="en-US" w:eastAsia="en-US" w:bidi="ar-SA"/>
      </w:rPr>
    </w:lvl>
    <w:lvl w:ilvl="7" w:tplc="E200C2BE">
      <w:numFmt w:val="bullet"/>
      <w:lvlText w:val="•"/>
      <w:lvlJc w:val="left"/>
      <w:pPr>
        <w:ind w:left="6752" w:hanging="360"/>
      </w:pPr>
      <w:rPr>
        <w:rFonts w:hint="default"/>
        <w:lang w:val="en-US" w:eastAsia="en-US" w:bidi="ar-SA"/>
      </w:rPr>
    </w:lvl>
    <w:lvl w:ilvl="8" w:tplc="65666046">
      <w:numFmt w:val="bullet"/>
      <w:lvlText w:val="•"/>
      <w:lvlJc w:val="left"/>
      <w:pPr>
        <w:ind w:left="761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4C65008"/>
    <w:multiLevelType w:val="hybridMultilevel"/>
    <w:tmpl w:val="EC26040C"/>
    <w:lvl w:ilvl="0" w:tplc="0809000F">
      <w:start w:val="6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2859A0"/>
    <w:multiLevelType w:val="hybridMultilevel"/>
    <w:tmpl w:val="86CC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224C5"/>
    <w:multiLevelType w:val="hybridMultilevel"/>
    <w:tmpl w:val="8BB2CF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1386F"/>
    <w:multiLevelType w:val="hybridMultilevel"/>
    <w:tmpl w:val="7F542AC4"/>
    <w:lvl w:ilvl="0" w:tplc="080C000B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 w15:restartNumberingAfterBreak="0">
    <w:nsid w:val="3D437C09"/>
    <w:multiLevelType w:val="hybridMultilevel"/>
    <w:tmpl w:val="40EE77CA"/>
    <w:lvl w:ilvl="0" w:tplc="D8EC6932">
      <w:start w:val="26"/>
      <w:numFmt w:val="decimal"/>
      <w:lvlText w:val="%1."/>
      <w:lvlJc w:val="left"/>
      <w:pPr>
        <w:ind w:left="1800" w:hanging="360"/>
      </w:pPr>
      <w:rPr>
        <w:rFonts w:ascii="Calibri" w:eastAsia="Calibri" w:hAnsi="Calibri" w:cs="Times New Roman" w:hint="default"/>
        <w:color w:val="1F3864"/>
        <w:sz w:val="22"/>
      </w:r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>
      <w:start w:val="1"/>
      <w:numFmt w:val="lowerRoman"/>
      <w:lvlText w:val="%3."/>
      <w:lvlJc w:val="right"/>
      <w:pPr>
        <w:ind w:left="3240" w:hanging="180"/>
      </w:pPr>
    </w:lvl>
    <w:lvl w:ilvl="3" w:tplc="0809000F">
      <w:start w:val="1"/>
      <w:numFmt w:val="decimal"/>
      <w:lvlText w:val="%4."/>
      <w:lvlJc w:val="left"/>
      <w:pPr>
        <w:ind w:left="3960" w:hanging="360"/>
      </w:pPr>
    </w:lvl>
    <w:lvl w:ilvl="4" w:tplc="08090019">
      <w:start w:val="1"/>
      <w:numFmt w:val="lowerLetter"/>
      <w:lvlText w:val="%5."/>
      <w:lvlJc w:val="left"/>
      <w:pPr>
        <w:ind w:left="4680" w:hanging="360"/>
      </w:pPr>
    </w:lvl>
    <w:lvl w:ilvl="5" w:tplc="0809001B">
      <w:start w:val="1"/>
      <w:numFmt w:val="lowerRoman"/>
      <w:lvlText w:val="%6."/>
      <w:lvlJc w:val="right"/>
      <w:pPr>
        <w:ind w:left="5400" w:hanging="180"/>
      </w:pPr>
    </w:lvl>
    <w:lvl w:ilvl="6" w:tplc="0809000F">
      <w:start w:val="1"/>
      <w:numFmt w:val="decimal"/>
      <w:lvlText w:val="%7."/>
      <w:lvlJc w:val="left"/>
      <w:pPr>
        <w:ind w:left="6120" w:hanging="360"/>
      </w:pPr>
    </w:lvl>
    <w:lvl w:ilvl="7" w:tplc="08090019">
      <w:start w:val="1"/>
      <w:numFmt w:val="lowerLetter"/>
      <w:lvlText w:val="%8."/>
      <w:lvlJc w:val="left"/>
      <w:pPr>
        <w:ind w:left="6840" w:hanging="360"/>
      </w:pPr>
    </w:lvl>
    <w:lvl w:ilvl="8" w:tplc="0809001B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B106EC8"/>
    <w:multiLevelType w:val="hybridMultilevel"/>
    <w:tmpl w:val="951E4F1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2426AD4"/>
    <w:multiLevelType w:val="hybridMultilevel"/>
    <w:tmpl w:val="16900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36FE3"/>
    <w:multiLevelType w:val="hybridMultilevel"/>
    <w:tmpl w:val="0736FCEE"/>
    <w:lvl w:ilvl="0" w:tplc="040C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319AF"/>
    <w:multiLevelType w:val="hybridMultilevel"/>
    <w:tmpl w:val="F26A8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29327A"/>
    <w:multiLevelType w:val="hybridMultilevel"/>
    <w:tmpl w:val="C18CA3C6"/>
    <w:lvl w:ilvl="0" w:tplc="9B86EA64">
      <w:start w:val="1"/>
      <w:numFmt w:val="upperRoman"/>
      <w:lvlText w:val="%1."/>
      <w:lvlJc w:val="left"/>
      <w:pPr>
        <w:ind w:left="2844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3204" w:hanging="360"/>
      </w:pPr>
    </w:lvl>
    <w:lvl w:ilvl="2" w:tplc="080C001B" w:tentative="1">
      <w:start w:val="1"/>
      <w:numFmt w:val="lowerRoman"/>
      <w:lvlText w:val="%3."/>
      <w:lvlJc w:val="right"/>
      <w:pPr>
        <w:ind w:left="3924" w:hanging="180"/>
      </w:pPr>
    </w:lvl>
    <w:lvl w:ilvl="3" w:tplc="080C000F" w:tentative="1">
      <w:start w:val="1"/>
      <w:numFmt w:val="decimal"/>
      <w:lvlText w:val="%4."/>
      <w:lvlJc w:val="left"/>
      <w:pPr>
        <w:ind w:left="4644" w:hanging="360"/>
      </w:pPr>
    </w:lvl>
    <w:lvl w:ilvl="4" w:tplc="080C0019" w:tentative="1">
      <w:start w:val="1"/>
      <w:numFmt w:val="lowerLetter"/>
      <w:lvlText w:val="%5."/>
      <w:lvlJc w:val="left"/>
      <w:pPr>
        <w:ind w:left="5364" w:hanging="360"/>
      </w:pPr>
    </w:lvl>
    <w:lvl w:ilvl="5" w:tplc="080C001B" w:tentative="1">
      <w:start w:val="1"/>
      <w:numFmt w:val="lowerRoman"/>
      <w:lvlText w:val="%6."/>
      <w:lvlJc w:val="right"/>
      <w:pPr>
        <w:ind w:left="6084" w:hanging="180"/>
      </w:pPr>
    </w:lvl>
    <w:lvl w:ilvl="6" w:tplc="080C000F" w:tentative="1">
      <w:start w:val="1"/>
      <w:numFmt w:val="decimal"/>
      <w:lvlText w:val="%7."/>
      <w:lvlJc w:val="left"/>
      <w:pPr>
        <w:ind w:left="6804" w:hanging="360"/>
      </w:pPr>
    </w:lvl>
    <w:lvl w:ilvl="7" w:tplc="080C0019" w:tentative="1">
      <w:start w:val="1"/>
      <w:numFmt w:val="lowerLetter"/>
      <w:lvlText w:val="%8."/>
      <w:lvlJc w:val="left"/>
      <w:pPr>
        <w:ind w:left="7524" w:hanging="360"/>
      </w:pPr>
    </w:lvl>
    <w:lvl w:ilvl="8" w:tplc="080C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1" w15:restartNumberingAfterBreak="0">
    <w:nsid w:val="63D66480"/>
    <w:multiLevelType w:val="hybridMultilevel"/>
    <w:tmpl w:val="3C5012E0"/>
    <w:lvl w:ilvl="0" w:tplc="040C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686066"/>
    <w:multiLevelType w:val="hybridMultilevel"/>
    <w:tmpl w:val="54023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046DDE"/>
    <w:multiLevelType w:val="hybridMultilevel"/>
    <w:tmpl w:val="724648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381198"/>
    <w:multiLevelType w:val="hybridMultilevel"/>
    <w:tmpl w:val="58FC22E6"/>
    <w:lvl w:ilvl="0" w:tplc="0DFE1564">
      <w:start w:val="1"/>
      <w:numFmt w:val="upperLetter"/>
      <w:lvlText w:val="%1."/>
      <w:lvlJc w:val="left"/>
      <w:pPr>
        <w:ind w:left="544" w:hanging="428"/>
      </w:pPr>
      <w:rPr>
        <w:rFonts w:ascii="Carlito" w:eastAsia="Carlito" w:hAnsi="Carlito" w:cs="Carlito" w:hint="default"/>
        <w:b/>
        <w:bCs/>
        <w:i/>
        <w:w w:val="100"/>
        <w:sz w:val="22"/>
        <w:szCs w:val="22"/>
        <w:lang w:val="en-US" w:eastAsia="en-US" w:bidi="ar-SA"/>
      </w:rPr>
    </w:lvl>
    <w:lvl w:ilvl="1" w:tplc="0AB072B8">
      <w:start w:val="1"/>
      <w:numFmt w:val="decimal"/>
      <w:lvlText w:val="%2."/>
      <w:lvlJc w:val="left"/>
      <w:pPr>
        <w:ind w:left="1216" w:hanging="361"/>
      </w:pPr>
      <w:rPr>
        <w:rFonts w:ascii="Carlito" w:eastAsia="Carlito" w:hAnsi="Carlito" w:cs="Carlito" w:hint="default"/>
        <w:i/>
        <w:w w:val="100"/>
        <w:sz w:val="22"/>
        <w:szCs w:val="22"/>
        <w:lang w:val="en-US" w:eastAsia="en-US" w:bidi="ar-SA"/>
      </w:rPr>
    </w:lvl>
    <w:lvl w:ilvl="2" w:tplc="8F3A0722">
      <w:numFmt w:val="bullet"/>
      <w:lvlText w:val="•"/>
      <w:lvlJc w:val="left"/>
      <w:pPr>
        <w:ind w:left="2122" w:hanging="361"/>
      </w:pPr>
      <w:rPr>
        <w:rFonts w:hint="default"/>
        <w:lang w:val="en-US" w:eastAsia="en-US" w:bidi="ar-SA"/>
      </w:rPr>
    </w:lvl>
    <w:lvl w:ilvl="3" w:tplc="1480F00E">
      <w:numFmt w:val="bullet"/>
      <w:lvlText w:val="•"/>
      <w:lvlJc w:val="left"/>
      <w:pPr>
        <w:ind w:left="3024" w:hanging="361"/>
      </w:pPr>
      <w:rPr>
        <w:rFonts w:hint="default"/>
        <w:lang w:val="en-US" w:eastAsia="en-US" w:bidi="ar-SA"/>
      </w:rPr>
    </w:lvl>
    <w:lvl w:ilvl="4" w:tplc="E384BA4E">
      <w:numFmt w:val="bullet"/>
      <w:lvlText w:val="•"/>
      <w:lvlJc w:val="left"/>
      <w:pPr>
        <w:ind w:left="3926" w:hanging="361"/>
      </w:pPr>
      <w:rPr>
        <w:rFonts w:hint="default"/>
        <w:lang w:val="en-US" w:eastAsia="en-US" w:bidi="ar-SA"/>
      </w:rPr>
    </w:lvl>
    <w:lvl w:ilvl="5" w:tplc="C136F13C">
      <w:numFmt w:val="bullet"/>
      <w:lvlText w:val="•"/>
      <w:lvlJc w:val="left"/>
      <w:pPr>
        <w:ind w:left="4828" w:hanging="361"/>
      </w:pPr>
      <w:rPr>
        <w:rFonts w:hint="default"/>
        <w:lang w:val="en-US" w:eastAsia="en-US" w:bidi="ar-SA"/>
      </w:rPr>
    </w:lvl>
    <w:lvl w:ilvl="6" w:tplc="2F66E3D4">
      <w:numFmt w:val="bullet"/>
      <w:lvlText w:val="•"/>
      <w:lvlJc w:val="left"/>
      <w:pPr>
        <w:ind w:left="5730" w:hanging="361"/>
      </w:pPr>
      <w:rPr>
        <w:rFonts w:hint="default"/>
        <w:lang w:val="en-US" w:eastAsia="en-US" w:bidi="ar-SA"/>
      </w:rPr>
    </w:lvl>
    <w:lvl w:ilvl="7" w:tplc="E8E066A4">
      <w:numFmt w:val="bullet"/>
      <w:lvlText w:val="•"/>
      <w:lvlJc w:val="left"/>
      <w:pPr>
        <w:ind w:left="6632" w:hanging="361"/>
      </w:pPr>
      <w:rPr>
        <w:rFonts w:hint="default"/>
        <w:lang w:val="en-US" w:eastAsia="en-US" w:bidi="ar-SA"/>
      </w:rPr>
    </w:lvl>
    <w:lvl w:ilvl="8" w:tplc="319A7012">
      <w:numFmt w:val="bullet"/>
      <w:lvlText w:val="•"/>
      <w:lvlJc w:val="left"/>
      <w:pPr>
        <w:ind w:left="7534" w:hanging="361"/>
      </w:pPr>
      <w:rPr>
        <w:rFonts w:hint="default"/>
        <w:lang w:val="en-US" w:eastAsia="en-US" w:bidi="ar-SA"/>
      </w:rPr>
    </w:lvl>
  </w:abstractNum>
  <w:abstractNum w:abstractNumId="15" w15:restartNumberingAfterBreak="0">
    <w:nsid w:val="6FE8771B"/>
    <w:multiLevelType w:val="hybridMultilevel"/>
    <w:tmpl w:val="C7409BE2"/>
    <w:lvl w:ilvl="0" w:tplc="2E90BA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4"/>
  </w:num>
  <w:num w:numId="4">
    <w:abstractNumId w:val="3"/>
  </w:num>
  <w:num w:numId="5">
    <w:abstractNumId w:val="7"/>
  </w:num>
  <w:num w:numId="6">
    <w:abstractNumId w:val="9"/>
  </w:num>
  <w:num w:numId="7">
    <w:abstractNumId w:val="13"/>
  </w:num>
  <w:num w:numId="8">
    <w:abstractNumId w:val="12"/>
  </w:num>
  <w:num w:numId="9">
    <w:abstractNumId w:val="14"/>
  </w:num>
  <w:num w:numId="10">
    <w:abstractNumId w:val="8"/>
  </w:num>
  <w:num w:numId="11">
    <w:abstractNumId w:val="0"/>
  </w:num>
  <w:num w:numId="12">
    <w:abstractNumId w:val="11"/>
  </w:num>
  <w:num w:numId="13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5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B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activeWritingStyle w:appName="MSWord" w:lang="fr-BE" w:vendorID="64" w:dllVersion="131078" w:nlCheck="1" w:checkStyle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79B"/>
    <w:rsid w:val="0000200B"/>
    <w:rsid w:val="0002213A"/>
    <w:rsid w:val="00024911"/>
    <w:rsid w:val="00032D20"/>
    <w:rsid w:val="000555C4"/>
    <w:rsid w:val="00094650"/>
    <w:rsid w:val="000B034D"/>
    <w:rsid w:val="000D06BF"/>
    <w:rsid w:val="000E3E0A"/>
    <w:rsid w:val="000E4ACA"/>
    <w:rsid w:val="000E4D1E"/>
    <w:rsid w:val="000E58CC"/>
    <w:rsid w:val="000F7447"/>
    <w:rsid w:val="000F74F4"/>
    <w:rsid w:val="00102288"/>
    <w:rsid w:val="00116541"/>
    <w:rsid w:val="00125B2C"/>
    <w:rsid w:val="00137F92"/>
    <w:rsid w:val="00144770"/>
    <w:rsid w:val="00147BF9"/>
    <w:rsid w:val="0015004A"/>
    <w:rsid w:val="00152098"/>
    <w:rsid w:val="001522ED"/>
    <w:rsid w:val="00165AFF"/>
    <w:rsid w:val="001868C7"/>
    <w:rsid w:val="001868E0"/>
    <w:rsid w:val="00195595"/>
    <w:rsid w:val="001A17C6"/>
    <w:rsid w:val="001B26BC"/>
    <w:rsid w:val="001B7CA2"/>
    <w:rsid w:val="001C79A2"/>
    <w:rsid w:val="001C7CCF"/>
    <w:rsid w:val="001D03A6"/>
    <w:rsid w:val="001E08DC"/>
    <w:rsid w:val="001E0C79"/>
    <w:rsid w:val="001E2105"/>
    <w:rsid w:val="001E6140"/>
    <w:rsid w:val="002057FA"/>
    <w:rsid w:val="00206A47"/>
    <w:rsid w:val="002126E6"/>
    <w:rsid w:val="00221C79"/>
    <w:rsid w:val="00231F28"/>
    <w:rsid w:val="00235A91"/>
    <w:rsid w:val="002430D2"/>
    <w:rsid w:val="0024664D"/>
    <w:rsid w:val="00251082"/>
    <w:rsid w:val="00252C8E"/>
    <w:rsid w:val="002668EA"/>
    <w:rsid w:val="00275AE3"/>
    <w:rsid w:val="00293C29"/>
    <w:rsid w:val="00294805"/>
    <w:rsid w:val="002953FF"/>
    <w:rsid w:val="002969C5"/>
    <w:rsid w:val="002B52B9"/>
    <w:rsid w:val="002C15AB"/>
    <w:rsid w:val="002C4AD7"/>
    <w:rsid w:val="002D45D1"/>
    <w:rsid w:val="0030165D"/>
    <w:rsid w:val="00302AC0"/>
    <w:rsid w:val="00334386"/>
    <w:rsid w:val="003619BB"/>
    <w:rsid w:val="0036306F"/>
    <w:rsid w:val="00364DD8"/>
    <w:rsid w:val="00383787"/>
    <w:rsid w:val="003843E1"/>
    <w:rsid w:val="0038485A"/>
    <w:rsid w:val="00387C6E"/>
    <w:rsid w:val="003B4F07"/>
    <w:rsid w:val="003D7999"/>
    <w:rsid w:val="003F19B1"/>
    <w:rsid w:val="00405880"/>
    <w:rsid w:val="00411DD7"/>
    <w:rsid w:val="00432070"/>
    <w:rsid w:val="00445679"/>
    <w:rsid w:val="00447DF5"/>
    <w:rsid w:val="00451BE5"/>
    <w:rsid w:val="00462100"/>
    <w:rsid w:val="00476B32"/>
    <w:rsid w:val="004809CC"/>
    <w:rsid w:val="00491A44"/>
    <w:rsid w:val="004A0573"/>
    <w:rsid w:val="004A4D25"/>
    <w:rsid w:val="004B60DD"/>
    <w:rsid w:val="004C0B1F"/>
    <w:rsid w:val="004E2A0C"/>
    <w:rsid w:val="004E5D2F"/>
    <w:rsid w:val="005078D2"/>
    <w:rsid w:val="00561741"/>
    <w:rsid w:val="00572CAC"/>
    <w:rsid w:val="00572D29"/>
    <w:rsid w:val="00576122"/>
    <w:rsid w:val="00591274"/>
    <w:rsid w:val="00592F7B"/>
    <w:rsid w:val="005936DA"/>
    <w:rsid w:val="00595A34"/>
    <w:rsid w:val="00596FB1"/>
    <w:rsid w:val="005A49C5"/>
    <w:rsid w:val="005A53B1"/>
    <w:rsid w:val="005B0803"/>
    <w:rsid w:val="005C4199"/>
    <w:rsid w:val="00600F16"/>
    <w:rsid w:val="00610C3A"/>
    <w:rsid w:val="0061181D"/>
    <w:rsid w:val="00621476"/>
    <w:rsid w:val="00633DEB"/>
    <w:rsid w:val="00636147"/>
    <w:rsid w:val="0064596A"/>
    <w:rsid w:val="00656276"/>
    <w:rsid w:val="00657EDD"/>
    <w:rsid w:val="0066480F"/>
    <w:rsid w:val="00694C36"/>
    <w:rsid w:val="006B2EEF"/>
    <w:rsid w:val="006D3FD6"/>
    <w:rsid w:val="006F10BF"/>
    <w:rsid w:val="00726393"/>
    <w:rsid w:val="0074007C"/>
    <w:rsid w:val="007467E2"/>
    <w:rsid w:val="00753FA0"/>
    <w:rsid w:val="0079724B"/>
    <w:rsid w:val="007C2C45"/>
    <w:rsid w:val="007C5D41"/>
    <w:rsid w:val="007D7490"/>
    <w:rsid w:val="007F1F30"/>
    <w:rsid w:val="007F529E"/>
    <w:rsid w:val="007F54BF"/>
    <w:rsid w:val="0080379C"/>
    <w:rsid w:val="00812CA6"/>
    <w:rsid w:val="00815599"/>
    <w:rsid w:val="00820269"/>
    <w:rsid w:val="008215DF"/>
    <w:rsid w:val="00824724"/>
    <w:rsid w:val="0083739F"/>
    <w:rsid w:val="008526FE"/>
    <w:rsid w:val="008628EF"/>
    <w:rsid w:val="00867498"/>
    <w:rsid w:val="00867CBB"/>
    <w:rsid w:val="0088139C"/>
    <w:rsid w:val="008A13FD"/>
    <w:rsid w:val="008A1B74"/>
    <w:rsid w:val="008A7229"/>
    <w:rsid w:val="008B50CB"/>
    <w:rsid w:val="008B5DE9"/>
    <w:rsid w:val="008C4411"/>
    <w:rsid w:val="008C6C2E"/>
    <w:rsid w:val="008C7A94"/>
    <w:rsid w:val="008D7F8C"/>
    <w:rsid w:val="008E4FD7"/>
    <w:rsid w:val="008E537C"/>
    <w:rsid w:val="008F44F1"/>
    <w:rsid w:val="008F5F0F"/>
    <w:rsid w:val="008F689A"/>
    <w:rsid w:val="00916B8E"/>
    <w:rsid w:val="00923EBE"/>
    <w:rsid w:val="00937E62"/>
    <w:rsid w:val="009441AD"/>
    <w:rsid w:val="00951DEB"/>
    <w:rsid w:val="00962913"/>
    <w:rsid w:val="0096772C"/>
    <w:rsid w:val="00991323"/>
    <w:rsid w:val="00993B0A"/>
    <w:rsid w:val="00997215"/>
    <w:rsid w:val="009B6FBA"/>
    <w:rsid w:val="009C040C"/>
    <w:rsid w:val="009C6B9F"/>
    <w:rsid w:val="009D1508"/>
    <w:rsid w:val="009E48E9"/>
    <w:rsid w:val="00A1060B"/>
    <w:rsid w:val="00A118BB"/>
    <w:rsid w:val="00A2011E"/>
    <w:rsid w:val="00A33884"/>
    <w:rsid w:val="00A346A7"/>
    <w:rsid w:val="00A8576F"/>
    <w:rsid w:val="00A95DE7"/>
    <w:rsid w:val="00AA1E47"/>
    <w:rsid w:val="00AB39DD"/>
    <w:rsid w:val="00AB4073"/>
    <w:rsid w:val="00AB6BD8"/>
    <w:rsid w:val="00AD14BD"/>
    <w:rsid w:val="00AD2070"/>
    <w:rsid w:val="00AD5BC2"/>
    <w:rsid w:val="00AE13F5"/>
    <w:rsid w:val="00AF33F6"/>
    <w:rsid w:val="00AF4734"/>
    <w:rsid w:val="00AF6778"/>
    <w:rsid w:val="00B06121"/>
    <w:rsid w:val="00B1077E"/>
    <w:rsid w:val="00B3376B"/>
    <w:rsid w:val="00B4482C"/>
    <w:rsid w:val="00B54E3F"/>
    <w:rsid w:val="00B669A0"/>
    <w:rsid w:val="00B837B5"/>
    <w:rsid w:val="00B85AE7"/>
    <w:rsid w:val="00B8626C"/>
    <w:rsid w:val="00B92E78"/>
    <w:rsid w:val="00B94426"/>
    <w:rsid w:val="00BB67D7"/>
    <w:rsid w:val="00BC1D9A"/>
    <w:rsid w:val="00BF199A"/>
    <w:rsid w:val="00C206C5"/>
    <w:rsid w:val="00C21B69"/>
    <w:rsid w:val="00C25048"/>
    <w:rsid w:val="00C34944"/>
    <w:rsid w:val="00C357C2"/>
    <w:rsid w:val="00C46DCD"/>
    <w:rsid w:val="00C5007B"/>
    <w:rsid w:val="00C91D1B"/>
    <w:rsid w:val="00CB73BB"/>
    <w:rsid w:val="00CC6B37"/>
    <w:rsid w:val="00CD1815"/>
    <w:rsid w:val="00CD7A88"/>
    <w:rsid w:val="00CE4C75"/>
    <w:rsid w:val="00CF698C"/>
    <w:rsid w:val="00D002BC"/>
    <w:rsid w:val="00D027D9"/>
    <w:rsid w:val="00D17788"/>
    <w:rsid w:val="00D377E6"/>
    <w:rsid w:val="00D6657B"/>
    <w:rsid w:val="00D743B4"/>
    <w:rsid w:val="00D76481"/>
    <w:rsid w:val="00D776C3"/>
    <w:rsid w:val="00D848D8"/>
    <w:rsid w:val="00D87626"/>
    <w:rsid w:val="00DA2342"/>
    <w:rsid w:val="00DC04CC"/>
    <w:rsid w:val="00DC2228"/>
    <w:rsid w:val="00DC36E4"/>
    <w:rsid w:val="00DC49B7"/>
    <w:rsid w:val="00DC5B32"/>
    <w:rsid w:val="00DD0B31"/>
    <w:rsid w:val="00DD1A75"/>
    <w:rsid w:val="00DD51BC"/>
    <w:rsid w:val="00DE2240"/>
    <w:rsid w:val="00DF059A"/>
    <w:rsid w:val="00DF181A"/>
    <w:rsid w:val="00DF4A1E"/>
    <w:rsid w:val="00E14E2A"/>
    <w:rsid w:val="00E33076"/>
    <w:rsid w:val="00E70E81"/>
    <w:rsid w:val="00E7390A"/>
    <w:rsid w:val="00E7579B"/>
    <w:rsid w:val="00E75F98"/>
    <w:rsid w:val="00E85BC4"/>
    <w:rsid w:val="00E87A2E"/>
    <w:rsid w:val="00E92C99"/>
    <w:rsid w:val="00E943EC"/>
    <w:rsid w:val="00EA5201"/>
    <w:rsid w:val="00EB0581"/>
    <w:rsid w:val="00ED5335"/>
    <w:rsid w:val="00ED7A10"/>
    <w:rsid w:val="00EE6A52"/>
    <w:rsid w:val="00EF2BDF"/>
    <w:rsid w:val="00EF36D6"/>
    <w:rsid w:val="00EF4DF8"/>
    <w:rsid w:val="00F464F2"/>
    <w:rsid w:val="00F7351E"/>
    <w:rsid w:val="00F767DF"/>
    <w:rsid w:val="00F7725E"/>
    <w:rsid w:val="00FE1807"/>
    <w:rsid w:val="00FF410C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C06DA"/>
  <w15:chartTrackingRefBased/>
  <w15:docId w15:val="{C68F1EC3-8FFB-4F2F-ABA3-12EB3CEFA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4C75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579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809C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809CC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BD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BD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B6BD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0F74F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0F74F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F74F4"/>
    <w:rPr>
      <w:vertAlign w:val="superscript"/>
    </w:rPr>
  </w:style>
  <w:style w:type="paragraph" w:styleId="Header">
    <w:name w:val="header"/>
    <w:aliases w:val="6_G"/>
    <w:basedOn w:val="Normal"/>
    <w:link w:val="HeaderChar"/>
    <w:unhideWhenUsed/>
    <w:rsid w:val="009972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6_G Char"/>
    <w:basedOn w:val="DefaultParagraphFont"/>
    <w:link w:val="Header"/>
    <w:rsid w:val="00997215"/>
  </w:style>
  <w:style w:type="paragraph" w:styleId="Footer">
    <w:name w:val="footer"/>
    <w:basedOn w:val="Normal"/>
    <w:link w:val="FooterChar"/>
    <w:uiPriority w:val="99"/>
    <w:unhideWhenUsed/>
    <w:rsid w:val="009972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215"/>
  </w:style>
  <w:style w:type="character" w:styleId="FollowedHyperlink">
    <w:name w:val="FollowedHyperlink"/>
    <w:basedOn w:val="DefaultParagraphFont"/>
    <w:uiPriority w:val="99"/>
    <w:semiHidden/>
    <w:unhideWhenUsed/>
    <w:rsid w:val="008A1B7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CC6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15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55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55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55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559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55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599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EA5201"/>
    <w:rPr>
      <w:b/>
      <w:bCs/>
    </w:rPr>
  </w:style>
  <w:style w:type="character" w:customStyle="1" w:styleId="highlight">
    <w:name w:val="highlight"/>
    <w:basedOn w:val="DefaultParagraphFont"/>
    <w:rsid w:val="00B06121"/>
  </w:style>
  <w:style w:type="character" w:customStyle="1" w:styleId="lblnewsfulltext">
    <w:name w:val="lblnewsfulltext"/>
    <w:basedOn w:val="DefaultParagraphFont"/>
    <w:rsid w:val="00252C8E"/>
  </w:style>
  <w:style w:type="character" w:customStyle="1" w:styleId="mark5lzu2uz4h">
    <w:name w:val="mark5lzu2uz4h"/>
    <w:basedOn w:val="DefaultParagraphFont"/>
    <w:rsid w:val="00D743B4"/>
  </w:style>
  <w:style w:type="character" w:customStyle="1" w:styleId="markll5gfgsoa">
    <w:name w:val="markll5gfgsoa"/>
    <w:basedOn w:val="DefaultParagraphFont"/>
    <w:rsid w:val="00D743B4"/>
  </w:style>
  <w:style w:type="character" w:customStyle="1" w:styleId="UnresolvedMention">
    <w:name w:val="Unresolved Mention"/>
    <w:basedOn w:val="DefaultParagraphFont"/>
    <w:uiPriority w:val="99"/>
    <w:semiHidden/>
    <w:unhideWhenUsed/>
    <w:rsid w:val="00657EDD"/>
    <w:rPr>
      <w:color w:val="605E5C"/>
      <w:shd w:val="clear" w:color="auto" w:fill="E1DFDD"/>
    </w:rPr>
  </w:style>
  <w:style w:type="character" w:customStyle="1" w:styleId="h2">
    <w:name w:val="h2"/>
    <w:basedOn w:val="DefaultParagraphFont"/>
    <w:rsid w:val="002B52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1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6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4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73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66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300078">
                          <w:marLeft w:val="1200"/>
                          <w:marRight w:val="120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447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74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hchr.org/EN/NewsEvents/Pages/DisplayNews.aspx?NewsID=27894&amp;LangID=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ohchr.org/EN/NewsEvents/Pages/DisplayNews.aspx?NewsID=27894&amp;LangID=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ohchr.org/EN/NewsEvents/Pages/DisplayNews.aspx?NewsID=27894&amp;LangID=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hchr.org/EN/NewsEvents/Pages/DisplayNews.aspx?NewsID=27894&amp;LangID=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4987C-115D-4FFF-B1A4-2C71AE1CE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 Human Rights Regional Office for Europe (OHCHR)</dc:creator>
  <cp:keywords/>
  <dc:description/>
  <cp:lastModifiedBy>ROE</cp:lastModifiedBy>
  <cp:revision>2</cp:revision>
  <dcterms:created xsi:type="dcterms:W3CDTF">2022-03-03T20:22:00Z</dcterms:created>
  <dcterms:modified xsi:type="dcterms:W3CDTF">2022-03-03T20:22:00Z</dcterms:modified>
</cp:coreProperties>
</file>